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89" w:rsidRPr="0034538E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tabs>
          <w:tab w:val="center" w:pos="4512"/>
        </w:tabs>
        <w:jc w:val="center"/>
        <w:rPr>
          <w:rFonts w:ascii="Johnson Matthey Logo" w:hAnsi="Johnson Matthey Logo"/>
          <w:b/>
        </w:rPr>
      </w:pPr>
    </w:p>
    <w:p w:rsidR="00454289" w:rsidRDefault="00454289">
      <w:pPr>
        <w:pStyle w:val="Heading1"/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center"/>
      </w:pPr>
      <w:r>
        <w:t>VACANCY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Johnson Matthey Logo" w:hAnsi="Johnson Matthey Logo"/>
          <w:b/>
        </w:rPr>
      </w:pP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tabs>
          <w:tab w:val="center" w:pos="4512"/>
        </w:tabs>
        <w:jc w:val="both"/>
        <w:rPr>
          <w:rFonts w:ascii="Arial" w:hAnsi="Arial"/>
          <w:b/>
          <w:sz w:val="28"/>
        </w:rPr>
      </w:pPr>
      <w:r>
        <w:rPr>
          <w:rFonts w:ascii="Johnson Matthey Logo" w:hAnsi="Johnson Matthey Logo"/>
          <w:b/>
        </w:rPr>
        <w:tab/>
      </w:r>
      <w:r w:rsidR="00FE4AEF">
        <w:rPr>
          <w:rFonts w:ascii="Arial" w:hAnsi="Arial"/>
          <w:b/>
          <w:sz w:val="28"/>
        </w:rPr>
        <w:t>JOHNSON MATTHEY CATALYSTS-</w:t>
      </w:r>
      <w:r>
        <w:rPr>
          <w:rFonts w:ascii="Arial" w:hAnsi="Arial"/>
          <w:b/>
          <w:sz w:val="28"/>
        </w:rPr>
        <w:t xml:space="preserve"> SAVANNAH, GEORGIA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center"/>
        <w:rPr>
          <w:rFonts w:ascii="Arial" w:hAnsi="Arial"/>
          <w:b/>
          <w:sz w:val="28"/>
        </w:rPr>
      </w:pPr>
    </w:p>
    <w:p w:rsidR="00454289" w:rsidRDefault="00454289">
      <w:pPr>
        <w:pStyle w:val="Heading2"/>
        <w:rPr>
          <w:sz w:val="24"/>
        </w:rPr>
      </w:pPr>
      <w:r>
        <w:t>Electron Microscopy Specialist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Johnson Matthey PLC is a world leader in advanced materials and catalyst technology with more than </w:t>
      </w:r>
      <w:r w:rsidR="00FE4AEF">
        <w:rPr>
          <w:rFonts w:ascii="Arial" w:hAnsi="Arial"/>
          <w:sz w:val="24"/>
        </w:rPr>
        <w:t>12000</w:t>
      </w:r>
      <w:r>
        <w:rPr>
          <w:rFonts w:ascii="Arial" w:hAnsi="Arial"/>
          <w:sz w:val="24"/>
        </w:rPr>
        <w:t xml:space="preserve"> employees worldwide. Johnson Matthey </w:t>
      </w:r>
      <w:r w:rsidR="00FE4AEF">
        <w:rPr>
          <w:rFonts w:ascii="Arial" w:hAnsi="Arial"/>
          <w:sz w:val="24"/>
        </w:rPr>
        <w:t>has an electron microscopy facility</w:t>
      </w:r>
      <w:r>
        <w:rPr>
          <w:rFonts w:ascii="Arial" w:hAnsi="Arial"/>
          <w:sz w:val="24"/>
        </w:rPr>
        <w:t xml:space="preserve"> based in Savannah Georgia.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</w:p>
    <w:p w:rsidR="00454289" w:rsidRDefault="00FE4AEF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454289">
        <w:rPr>
          <w:rFonts w:ascii="Arial" w:hAnsi="Arial"/>
          <w:sz w:val="24"/>
        </w:rPr>
        <w:t xml:space="preserve"> research scientist</w:t>
      </w:r>
      <w:r w:rsidR="004B1F7B">
        <w:rPr>
          <w:rFonts w:ascii="Arial" w:hAnsi="Arial"/>
          <w:sz w:val="24"/>
        </w:rPr>
        <w:t xml:space="preserve"> position,</w:t>
      </w:r>
      <w:r>
        <w:rPr>
          <w:rFonts w:ascii="Arial" w:hAnsi="Arial"/>
          <w:sz w:val="24"/>
        </w:rPr>
        <w:t xml:space="preserve"> specializ</w:t>
      </w:r>
      <w:r w:rsidR="00454289">
        <w:rPr>
          <w:rFonts w:ascii="Arial" w:hAnsi="Arial"/>
          <w:sz w:val="24"/>
        </w:rPr>
        <w:t xml:space="preserve">ing in </w:t>
      </w:r>
      <w:r w:rsidR="005F5227">
        <w:rPr>
          <w:rFonts w:ascii="Arial" w:hAnsi="Arial"/>
          <w:sz w:val="24"/>
        </w:rPr>
        <w:t>e</w:t>
      </w:r>
      <w:r w:rsidR="00454289">
        <w:rPr>
          <w:rFonts w:ascii="Arial" w:hAnsi="Arial"/>
          <w:sz w:val="24"/>
        </w:rPr>
        <w:t xml:space="preserve">lectron </w:t>
      </w:r>
      <w:r w:rsidR="005F5227">
        <w:rPr>
          <w:rFonts w:ascii="Arial" w:hAnsi="Arial"/>
          <w:sz w:val="24"/>
        </w:rPr>
        <w:t>m</w:t>
      </w:r>
      <w:r w:rsidR="00454289">
        <w:rPr>
          <w:rFonts w:ascii="Arial" w:hAnsi="Arial"/>
          <w:sz w:val="24"/>
        </w:rPr>
        <w:t xml:space="preserve">icroscopy </w:t>
      </w:r>
      <w:r w:rsidR="004B1F7B">
        <w:rPr>
          <w:rFonts w:ascii="Arial" w:hAnsi="Arial"/>
          <w:sz w:val="24"/>
        </w:rPr>
        <w:t>has become available</w:t>
      </w:r>
      <w:r w:rsidR="00BB4501">
        <w:rPr>
          <w:rFonts w:ascii="Arial" w:hAnsi="Arial"/>
          <w:sz w:val="24"/>
        </w:rPr>
        <w:t xml:space="preserve"> in this facility</w:t>
      </w:r>
      <w:r w:rsidR="004B1F7B">
        <w:rPr>
          <w:rFonts w:ascii="Arial" w:hAnsi="Arial"/>
          <w:sz w:val="24"/>
        </w:rPr>
        <w:t>. The job holder will</w:t>
      </w:r>
      <w:r w:rsidR="00454289">
        <w:rPr>
          <w:rFonts w:ascii="Arial" w:hAnsi="Arial"/>
          <w:sz w:val="24"/>
        </w:rPr>
        <w:t xml:space="preserve"> work </w:t>
      </w:r>
      <w:r w:rsidR="004B1F7B">
        <w:rPr>
          <w:rFonts w:ascii="Arial" w:hAnsi="Arial"/>
          <w:sz w:val="24"/>
        </w:rPr>
        <w:t>to prov</w:t>
      </w:r>
      <w:r>
        <w:rPr>
          <w:rFonts w:ascii="Arial" w:hAnsi="Arial"/>
          <w:sz w:val="24"/>
        </w:rPr>
        <w:t>ide a research grade characteriz</w:t>
      </w:r>
      <w:r w:rsidR="004B1F7B">
        <w:rPr>
          <w:rFonts w:ascii="Arial" w:hAnsi="Arial"/>
          <w:sz w:val="24"/>
        </w:rPr>
        <w:t xml:space="preserve">ation capability </w:t>
      </w:r>
      <w:r w:rsidR="00BB4501">
        <w:rPr>
          <w:rFonts w:ascii="Arial" w:hAnsi="Arial"/>
          <w:sz w:val="24"/>
        </w:rPr>
        <w:t>with both scanning and t</w:t>
      </w:r>
      <w:r w:rsidR="00454289">
        <w:rPr>
          <w:rFonts w:ascii="Arial" w:hAnsi="Arial"/>
          <w:sz w:val="24"/>
        </w:rPr>
        <w:t xml:space="preserve">ransmission electron microscopes to </w:t>
      </w:r>
      <w:proofErr w:type="spellStart"/>
      <w:r w:rsidR="004B1F7B">
        <w:rPr>
          <w:rFonts w:ascii="Arial" w:hAnsi="Arial"/>
          <w:sz w:val="24"/>
        </w:rPr>
        <w:t>analy</w:t>
      </w:r>
      <w:r w:rsidR="00BB4501">
        <w:rPr>
          <w:rFonts w:ascii="Arial" w:hAnsi="Arial"/>
          <w:sz w:val="24"/>
        </w:rPr>
        <w:t>z</w:t>
      </w:r>
      <w:r w:rsidR="00454289">
        <w:rPr>
          <w:rFonts w:ascii="Arial" w:hAnsi="Arial"/>
          <w:sz w:val="24"/>
        </w:rPr>
        <w:t>e</w:t>
      </w:r>
      <w:proofErr w:type="spellEnd"/>
      <w:r w:rsidR="00454289">
        <w:rPr>
          <w:rFonts w:ascii="Arial" w:hAnsi="Arial"/>
          <w:sz w:val="24"/>
        </w:rPr>
        <w:t xml:space="preserve"> JM catalysts and materials.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successful can</w:t>
      </w:r>
      <w:r w:rsidR="00BB4501">
        <w:rPr>
          <w:rFonts w:ascii="Arial" w:hAnsi="Arial"/>
          <w:sz w:val="24"/>
        </w:rPr>
        <w:t>didate is expected to have PhD l</w:t>
      </w:r>
      <w:r>
        <w:rPr>
          <w:rFonts w:ascii="Arial" w:hAnsi="Arial"/>
          <w:sz w:val="24"/>
        </w:rPr>
        <w:t>evel expertise in several of the following areas:</w:t>
      </w:r>
      <w:bookmarkStart w:id="0" w:name="_GoBack"/>
      <w:bookmarkEnd w:id="0"/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SEM and S/TEM Characterisation methods: (HRTEM; HAADF; EDX; EELS; Electron diffraction analysis)</w:t>
      </w:r>
    </w:p>
    <w:p w:rsidR="00FE4AEF" w:rsidRDefault="00FE4AEF" w:rsidP="00FE4AEF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Aberration corrected S(TEM) experience </w:t>
      </w:r>
    </w:p>
    <w:p w:rsidR="00454289" w:rsidRDefault="00454289">
      <w:pPr>
        <w:pStyle w:val="BodyTextIndent"/>
      </w:pPr>
      <w:r>
        <w:t xml:space="preserve">SEM and TEM sample preparation: (cross section TEM sample preparation, </w:t>
      </w:r>
      <w:proofErr w:type="spellStart"/>
      <w:r>
        <w:t>Ultramicrotomy</w:t>
      </w:r>
      <w:proofErr w:type="spellEnd"/>
      <w:r>
        <w:t>,</w:t>
      </w:r>
      <w:r w:rsidR="00BB4501">
        <w:t xml:space="preserve"> resin embedding polishing and c</w:t>
      </w:r>
      <w:r>
        <w:t>oating;)</w:t>
      </w:r>
    </w:p>
    <w:p w:rsidR="00454289" w:rsidRDefault="00454289">
      <w:pPr>
        <w:pStyle w:val="BodyTextIndent"/>
      </w:pPr>
      <w:r>
        <w:t>TEM and STEM image analysis and simulation tools (Digital Micrograph scripting, EMS simulations, HAADF simulations)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job is based on analysis </w:t>
      </w:r>
      <w:r w:rsidR="004B1F7B">
        <w:rPr>
          <w:rFonts w:ascii="Arial" w:hAnsi="Arial"/>
          <w:sz w:val="24"/>
        </w:rPr>
        <w:t xml:space="preserve">and interpretation </w:t>
      </w:r>
      <w:r>
        <w:rPr>
          <w:rFonts w:ascii="Arial" w:hAnsi="Arial"/>
          <w:sz w:val="24"/>
        </w:rPr>
        <w:t xml:space="preserve">of </w:t>
      </w:r>
      <w:r w:rsidR="004B1F7B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>variety of samples from our research groups and various divisions, thus prior exposure to multidisciplinary subjects as well as catalys</w:t>
      </w:r>
      <w:r w:rsidR="00BB4501">
        <w:rPr>
          <w:rFonts w:ascii="Arial" w:hAnsi="Arial"/>
          <w:sz w:val="24"/>
        </w:rPr>
        <w:t>ts, zeolites</w:t>
      </w:r>
      <w:r>
        <w:rPr>
          <w:rFonts w:ascii="Arial" w:hAnsi="Arial"/>
          <w:sz w:val="24"/>
        </w:rPr>
        <w:t xml:space="preserve"> and </w:t>
      </w:r>
      <w:r w:rsidR="00BB4501">
        <w:rPr>
          <w:rFonts w:ascii="Arial" w:hAnsi="Arial"/>
          <w:sz w:val="24"/>
        </w:rPr>
        <w:t xml:space="preserve">functional </w:t>
      </w:r>
      <w:r>
        <w:rPr>
          <w:rFonts w:ascii="Arial" w:hAnsi="Arial"/>
          <w:sz w:val="24"/>
        </w:rPr>
        <w:t>materials would be an advantage. The person is also expected to apply and develop electro</w:t>
      </w:r>
      <w:r w:rsidR="00BB4501">
        <w:rPr>
          <w:rFonts w:ascii="Arial" w:hAnsi="Arial"/>
          <w:sz w:val="24"/>
        </w:rPr>
        <w:t>n microscopy techniques customiz</w:t>
      </w:r>
      <w:r>
        <w:rPr>
          <w:rFonts w:ascii="Arial" w:hAnsi="Arial"/>
          <w:sz w:val="24"/>
        </w:rPr>
        <w:t>ed for JM materials as well as developing research projects with other industrial/academic/governmental partners.</w:t>
      </w:r>
      <w:r w:rsidR="00FE4AEF">
        <w:rPr>
          <w:rFonts w:ascii="Arial" w:hAnsi="Arial"/>
          <w:sz w:val="24"/>
        </w:rPr>
        <w:t xml:space="preserve"> The job requires</w:t>
      </w:r>
      <w:r w:rsidR="00BB4501">
        <w:rPr>
          <w:rFonts w:ascii="Arial" w:hAnsi="Arial"/>
          <w:sz w:val="24"/>
        </w:rPr>
        <w:t xml:space="preserve"> the candidate to have</w:t>
      </w:r>
      <w:r w:rsidR="00FE4AEF">
        <w:rPr>
          <w:rFonts w:ascii="Arial" w:hAnsi="Arial"/>
          <w:sz w:val="24"/>
        </w:rPr>
        <w:t xml:space="preserve"> </w:t>
      </w:r>
      <w:r w:rsidR="00BB4501">
        <w:rPr>
          <w:rFonts w:ascii="Arial" w:hAnsi="Arial"/>
          <w:sz w:val="24"/>
        </w:rPr>
        <w:t xml:space="preserve">a </w:t>
      </w:r>
      <w:r w:rsidR="00FE4AEF">
        <w:rPr>
          <w:rFonts w:ascii="Arial" w:hAnsi="Arial"/>
          <w:sz w:val="24"/>
        </w:rPr>
        <w:t>strong ability to work on his/her</w:t>
      </w:r>
      <w:r w:rsidR="00BB4501">
        <w:rPr>
          <w:rFonts w:ascii="Arial" w:hAnsi="Arial"/>
          <w:sz w:val="24"/>
        </w:rPr>
        <w:t xml:space="preserve"> own</w:t>
      </w:r>
      <w:r w:rsidR="00FE4AEF">
        <w:rPr>
          <w:rFonts w:ascii="Arial" w:hAnsi="Arial"/>
          <w:sz w:val="24"/>
        </w:rPr>
        <w:t xml:space="preserve"> initiative and </w:t>
      </w:r>
      <w:r w:rsidR="00BB4501">
        <w:rPr>
          <w:rFonts w:ascii="Arial" w:hAnsi="Arial"/>
          <w:sz w:val="24"/>
        </w:rPr>
        <w:t xml:space="preserve">an </w:t>
      </w:r>
      <w:r w:rsidR="00FE4AEF">
        <w:rPr>
          <w:rFonts w:ascii="Arial" w:hAnsi="Arial"/>
          <w:sz w:val="24"/>
        </w:rPr>
        <w:t>ability to work with minimal supervision.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successful candidate will be educated to minimum PhD level.</w:t>
      </w:r>
    </w:p>
    <w:p w:rsidR="00CD10B5" w:rsidRPr="00CD10B5" w:rsidRDefault="00454289" w:rsidP="00CD10B5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Applications must be made in writing with full CV and current salary details to:  </w:t>
      </w:r>
      <w:r w:rsidR="00CD10B5">
        <w:rPr>
          <w:rFonts w:ascii="Arial" w:hAnsi="Arial"/>
          <w:sz w:val="24"/>
        </w:rPr>
        <w:t xml:space="preserve">Ginger </w:t>
      </w:r>
      <w:proofErr w:type="spellStart"/>
      <w:r w:rsidR="00CD10B5">
        <w:rPr>
          <w:rFonts w:ascii="Arial" w:hAnsi="Arial"/>
          <w:sz w:val="24"/>
        </w:rPr>
        <w:t>Faulkener</w:t>
      </w:r>
      <w:proofErr w:type="spellEnd"/>
      <w:r>
        <w:rPr>
          <w:rFonts w:ascii="Arial" w:hAnsi="Arial"/>
          <w:sz w:val="24"/>
        </w:rPr>
        <w:t>, Personnel Officer</w:t>
      </w:r>
      <w:r w:rsidRPr="00CD10B5">
        <w:rPr>
          <w:rFonts w:ascii="Arial" w:hAnsi="Arial" w:cs="Arial"/>
          <w:sz w:val="24"/>
          <w:szCs w:val="24"/>
        </w:rPr>
        <w:t xml:space="preserve">, </w:t>
      </w:r>
      <w:r w:rsidR="00CD10B5" w:rsidRPr="00CD10B5">
        <w:rPr>
          <w:rFonts w:ascii="Arial" w:hAnsi="Arial" w:cs="Arial"/>
          <w:sz w:val="24"/>
          <w:szCs w:val="24"/>
        </w:rPr>
        <w:t>Johnson Matthey115 Eli Whitney Boulevard</w:t>
      </w:r>
    </w:p>
    <w:p w:rsidR="00454289" w:rsidRDefault="00CD10B5" w:rsidP="00CD10B5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 w:rsidRPr="00CD10B5">
        <w:rPr>
          <w:rFonts w:ascii="Arial" w:hAnsi="Arial" w:cs="Arial"/>
          <w:sz w:val="24"/>
          <w:szCs w:val="24"/>
        </w:rPr>
        <w:t>Savannah, GA  31408</w:t>
      </w:r>
      <w:r w:rsidR="00454289" w:rsidRPr="00CD10B5">
        <w:rPr>
          <w:rFonts w:ascii="Arial" w:hAnsi="Arial"/>
          <w:sz w:val="24"/>
          <w:szCs w:val="24"/>
        </w:rPr>
        <w:t xml:space="preserve"> </w:t>
      </w:r>
      <w:r w:rsidR="00454289">
        <w:rPr>
          <w:rFonts w:ascii="Arial" w:hAnsi="Arial"/>
          <w:sz w:val="24"/>
        </w:rPr>
        <w:t xml:space="preserve">or e-mail </w:t>
      </w:r>
      <w:r w:rsidRPr="00CD10B5">
        <w:rPr>
          <w:rFonts w:ascii="Arial" w:hAnsi="Arial"/>
          <w:sz w:val="24"/>
        </w:rPr>
        <w:t>Ginger.Faulconer@matthey.com</w:t>
      </w: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</w:p>
    <w:p w:rsidR="00454289" w:rsidRDefault="00454289">
      <w:pPr>
        <w:pBdr>
          <w:top w:val="thinThickThinSmallGap" w:sz="24" w:space="1" w:color="auto"/>
          <w:left w:val="thinThickThinSmallGap" w:sz="24" w:space="31" w:color="auto"/>
          <w:bottom w:val="thinThickThinSmallGap" w:sz="24" w:space="31" w:color="auto"/>
          <w:right w:val="thinThickThinSmallGap" w:sz="24" w:space="3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Closing date for applications: 30</w:t>
      </w:r>
      <w:r>
        <w:rPr>
          <w:rFonts w:ascii="Arial" w:hAnsi="Arial"/>
          <w:sz w:val="24"/>
          <w:vertAlign w:val="superscript"/>
        </w:rPr>
        <w:t>th</w:t>
      </w:r>
      <w:r w:rsidR="00BB4501">
        <w:rPr>
          <w:rFonts w:ascii="Arial" w:hAnsi="Arial"/>
          <w:sz w:val="24"/>
        </w:rPr>
        <w:t xml:space="preserve"> June 2017</w:t>
      </w:r>
    </w:p>
    <w:sectPr w:rsidR="00454289">
      <w:type w:val="continuous"/>
      <w:pgSz w:w="12240" w:h="15840"/>
      <w:pgMar w:top="1440" w:right="1872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56E49A22-C385-4154-8649-964421BFF37C}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32F4B856-B2F7-4EC2-8BD0-5D889129B797}"/>
  </w:font>
  <w:font w:name="Johnson Matthey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6DD7E806-D5EF-43A2-B973-58A4443F03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7B"/>
    <w:rsid w:val="0034538E"/>
    <w:rsid w:val="00454289"/>
    <w:rsid w:val="004B1F7B"/>
    <w:rsid w:val="005F5227"/>
    <w:rsid w:val="00BB4501"/>
    <w:rsid w:val="00C55D5A"/>
    <w:rsid w:val="00CD10B5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32C19"/>
  <w15:chartTrackingRefBased/>
  <w15:docId w15:val="{18BC03E3-CDA6-406C-AF32-CD1AFF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thinThickThinSmallGap" w:sz="24" w:space="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Bdr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pBdr>
        <w:top w:val="thinThickThinSmallGap" w:sz="24" w:space="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Bdr>
      <w:ind w:left="720" w:hanging="720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D10B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0B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</vt:lpstr>
    </vt:vector>
  </TitlesOfParts>
  <Company>Johnson Matthey plc</Company>
  <LinksUpToDate>false</LinksUpToDate>
  <CharactersWithSpaces>1978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mailto:hrjmtc@matthey.com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</dc:title>
  <dc:subject/>
  <dc:creator>Johnson Matthey.</dc:creator>
  <cp:keywords/>
  <dc:description/>
  <cp:lastModifiedBy>Dogan Ozkaya</cp:lastModifiedBy>
  <cp:revision>3</cp:revision>
  <cp:lastPrinted>2004-11-11T09:44:00Z</cp:lastPrinted>
  <dcterms:created xsi:type="dcterms:W3CDTF">2017-06-02T15:48:00Z</dcterms:created>
  <dcterms:modified xsi:type="dcterms:W3CDTF">2017-06-02T15:53:00Z</dcterms:modified>
</cp:coreProperties>
</file>